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48A56611"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47C83">
        <w:rPr>
          <w:rFonts w:ascii="Arial" w:hAnsi="Arial" w:cs="Arial" w:hint="eastAsia"/>
          <w:b/>
        </w:rPr>
        <w:t>6</w:t>
      </w:r>
      <w:r w:rsidR="00460422">
        <w:rPr>
          <w:rFonts w:ascii="Arial" w:hAnsi="Arial" w:cs="Arial"/>
          <w:b/>
          <w:bCs/>
        </w:rPr>
        <w:t>bis-e</w:t>
      </w:r>
      <w:bookmarkStart w:id="0" w:name="_Hlk41145946"/>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AA0DD1">
        <w:rPr>
          <w:rFonts w:ascii="Arial" w:hAnsi="Arial" w:cs="Arial" w:hint="eastAsia"/>
          <w:b/>
          <w:bCs/>
        </w:rPr>
        <w:t>4645</w:t>
      </w:r>
    </w:p>
    <w:p w14:paraId="701DDD1B" w14:textId="77777777" w:rsidR="00460422" w:rsidRPr="00062030" w:rsidRDefault="00460422" w:rsidP="00460422">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62030">
        <w:rPr>
          <w:rFonts w:ascii="Arial" w:eastAsia="宋体" w:hAnsi="Arial" w:cs="Arial"/>
          <w:b/>
          <w:sz w:val="24"/>
          <w:szCs w:val="24"/>
          <w:lang w:eastAsia="zh-CN"/>
        </w:rPr>
        <w:t>Online, April 17 – April 26, 2023</w:t>
      </w:r>
    </w:p>
    <w:p w14:paraId="03D9AB6B" w14:textId="77777777" w:rsidR="00B71217" w:rsidRPr="00967981" w:rsidRDefault="00B71217" w:rsidP="00B71217">
      <w:pPr>
        <w:tabs>
          <w:tab w:val="left" w:pos="1985"/>
        </w:tabs>
        <w:rPr>
          <w:b/>
          <w:sz w:val="22"/>
        </w:rPr>
      </w:pPr>
    </w:p>
    <w:p w14:paraId="5091D0EE" w14:textId="11F8FE24"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BA6638">
        <w:rPr>
          <w:rFonts w:hint="eastAsia"/>
          <w:sz w:val="22"/>
        </w:rPr>
        <w:t>5.19</w:t>
      </w:r>
      <w:r w:rsidR="00246506">
        <w:rPr>
          <w:sz w:val="22"/>
        </w:rPr>
        <w:t>.</w:t>
      </w:r>
      <w:r w:rsidR="00BA45F2">
        <w:rPr>
          <w:sz w:val="22"/>
        </w:rPr>
        <w:t>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5C54EF3F"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w:t>
      </w:r>
      <w:r w:rsidR="004847FC">
        <w:rPr>
          <w:sz w:val="22"/>
        </w:rPr>
        <w:t>on</w:t>
      </w:r>
      <w:r w:rsidR="00790B91">
        <w:rPr>
          <w:sz w:val="22"/>
        </w:rPr>
        <w:t xml:space="preserve"> ATP</w:t>
      </w:r>
      <w:r w:rsidR="00586F7A">
        <w:rPr>
          <w:sz w:val="22"/>
        </w:rPr>
        <w:t xml:space="preserve"> </w:t>
      </w:r>
      <w:r w:rsidR="00713DC6">
        <w:rPr>
          <w:sz w:val="22"/>
        </w:rPr>
        <w:t>demodulation requirements</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1D99A58D" w:rsidR="00317438"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w:t>
      </w:r>
      <w:r w:rsidR="00317438">
        <w:rPr>
          <w:rFonts w:hint="eastAsia"/>
          <w:sz w:val="20"/>
          <w:szCs w:val="20"/>
        </w:rPr>
        <w:t>4</w:t>
      </w:r>
      <w:r w:rsidR="006035C8">
        <w:rPr>
          <w:sz w:val="20"/>
          <w:szCs w:val="20"/>
        </w:rPr>
        <w:t>#</w:t>
      </w:r>
      <w:r w:rsidR="00317438">
        <w:rPr>
          <w:rFonts w:hint="eastAsia"/>
          <w:sz w:val="20"/>
          <w:szCs w:val="20"/>
        </w:rPr>
        <w:t>10</w:t>
      </w:r>
      <w:r w:rsidR="004847FC">
        <w:rPr>
          <w:sz w:val="20"/>
          <w:szCs w:val="20"/>
        </w:rPr>
        <w:t>6</w:t>
      </w:r>
      <w:r w:rsidR="006035C8">
        <w:rPr>
          <w:sz w:val="20"/>
          <w:szCs w:val="20"/>
        </w:rPr>
        <w:t xml:space="preserve"> </w:t>
      </w:r>
      <w:r w:rsidR="006035C8">
        <w:rPr>
          <w:rFonts w:hint="eastAsia"/>
          <w:sz w:val="20"/>
          <w:szCs w:val="20"/>
        </w:rPr>
        <w:t>meeting</w:t>
      </w:r>
      <w:r w:rsidR="006035C8">
        <w:rPr>
          <w:sz w:val="20"/>
          <w:szCs w:val="20"/>
        </w:rPr>
        <w:t>,</w:t>
      </w:r>
      <w:r w:rsidR="005D71BB">
        <w:rPr>
          <w:sz w:val="20"/>
          <w:szCs w:val="20"/>
        </w:rPr>
        <w:t xml:space="preserve"> the </w:t>
      </w:r>
      <w:r w:rsidR="00317438">
        <w:rPr>
          <w:sz w:val="20"/>
          <w:szCs w:val="20"/>
        </w:rPr>
        <w:t>test parameters</w:t>
      </w:r>
      <w:r w:rsidR="005D71BB">
        <w:rPr>
          <w:sz w:val="20"/>
          <w:szCs w:val="20"/>
        </w:rPr>
        <w:t>,</w:t>
      </w:r>
      <w:r w:rsidR="00317438">
        <w:rPr>
          <w:sz w:val="20"/>
          <w:szCs w:val="20"/>
        </w:rPr>
        <w:t xml:space="preserve"> </w:t>
      </w:r>
      <w:r w:rsidR="005D71BB">
        <w:rPr>
          <w:sz w:val="20"/>
          <w:szCs w:val="20"/>
        </w:rPr>
        <w:t xml:space="preserve">simulation assumptions and </w:t>
      </w:r>
      <w:r w:rsidR="00317438">
        <w:rPr>
          <w:sz w:val="20"/>
          <w:szCs w:val="20"/>
        </w:rPr>
        <w:t>specification method for ATP were discussed, the WF has been approved [1].</w:t>
      </w:r>
      <w:r w:rsidR="006035C8">
        <w:rPr>
          <w:sz w:val="20"/>
          <w:szCs w:val="20"/>
        </w:rPr>
        <w:t xml:space="preserve"> </w:t>
      </w:r>
      <w:r w:rsidR="00317438">
        <w:rPr>
          <w:sz w:val="20"/>
          <w:szCs w:val="20"/>
        </w:rPr>
        <w:t xml:space="preserve">In this contribution, we provide our </w:t>
      </w:r>
      <w:r w:rsidR="005D71BB">
        <w:rPr>
          <w:sz w:val="20"/>
          <w:szCs w:val="20"/>
        </w:rPr>
        <w:t xml:space="preserve">views according to </w:t>
      </w:r>
      <w:r w:rsidR="00EF2302">
        <w:rPr>
          <w:sz w:val="20"/>
          <w:szCs w:val="20"/>
        </w:rPr>
        <w:t>our</w:t>
      </w:r>
      <w:r w:rsidR="005D71BB">
        <w:rPr>
          <w:sz w:val="20"/>
          <w:szCs w:val="20"/>
        </w:rPr>
        <w:t xml:space="preserve"> simulation results</w:t>
      </w:r>
      <w:r w:rsidR="00EF2302">
        <w:rPr>
          <w:sz w:val="20"/>
          <w:szCs w:val="20"/>
        </w:rPr>
        <w:t xml:space="preserve"> in [2]</w:t>
      </w:r>
      <w:r w:rsidR="00317438">
        <w:rPr>
          <w:sz w:val="20"/>
          <w:szCs w:val="20"/>
        </w:rPr>
        <w:t>.</w:t>
      </w:r>
    </w:p>
    <w:p w14:paraId="208CFB8E" w14:textId="0B115A09" w:rsidR="0065641F" w:rsidRPr="00C73B6F" w:rsidRDefault="00F52DE3"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F52DE3">
        <w:rPr>
          <w:rFonts w:ascii="Times New Roman" w:hAnsi="Times New Roman"/>
          <w:b w:val="0"/>
          <w:bCs w:val="0"/>
          <w:kern w:val="0"/>
          <w:sz w:val="36"/>
          <w:szCs w:val="36"/>
        </w:rPr>
        <w:t>Test param</w:t>
      </w:r>
      <w:r>
        <w:rPr>
          <w:rFonts w:ascii="Times New Roman" w:hAnsi="Times New Roman"/>
          <w:b w:val="0"/>
          <w:bCs w:val="0"/>
          <w:kern w:val="0"/>
          <w:sz w:val="36"/>
          <w:szCs w:val="36"/>
        </w:rPr>
        <w:t>e</w:t>
      </w:r>
      <w:r w:rsidRPr="00F52DE3">
        <w:rPr>
          <w:rFonts w:ascii="Times New Roman" w:hAnsi="Times New Roman"/>
          <w:b w:val="0"/>
          <w:bCs w:val="0"/>
          <w:kern w:val="0"/>
          <w:sz w:val="36"/>
          <w:szCs w:val="36"/>
        </w:rPr>
        <w:t>ters</w:t>
      </w:r>
      <w:bookmarkStart w:id="7" w:name="_Hlk70326378"/>
    </w:p>
    <w:p w14:paraId="1355AA7A" w14:textId="77777777" w:rsidR="00EF2302" w:rsidRPr="00F52DE3" w:rsidRDefault="00EF2302" w:rsidP="00F52DE3">
      <w:pPr>
        <w:spacing w:beforeLines="100" w:before="312"/>
        <w:rPr>
          <w:rFonts w:eastAsia="等线" w:cs="Symbol"/>
          <w:b/>
          <w:i/>
          <w:iCs/>
          <w:sz w:val="20"/>
          <w:u w:val="single"/>
          <w:lang w:eastAsia="ko-KR"/>
        </w:rPr>
      </w:pPr>
      <w:r w:rsidRPr="00F52DE3">
        <w:rPr>
          <w:rFonts w:eastAsia="等线" w:cs="Symbol"/>
          <w:b/>
          <w:i/>
          <w:iCs/>
          <w:sz w:val="20"/>
          <w:u w:val="single"/>
          <w:lang w:eastAsia="ko-KR"/>
        </w:rPr>
        <w:t>Issue 1-2-4: Maximum number of HARQ transmission</w:t>
      </w:r>
    </w:p>
    <w:p w14:paraId="5879C72A" w14:textId="77777777" w:rsidR="00EF2302" w:rsidRPr="00F52DE3" w:rsidRDefault="00EF2302" w:rsidP="00F52DE3">
      <w:pPr>
        <w:pStyle w:val="af9"/>
        <w:numPr>
          <w:ilvl w:val="0"/>
          <w:numId w:val="5"/>
        </w:numPr>
        <w:tabs>
          <w:tab w:val="left" w:pos="360"/>
        </w:tabs>
        <w:ind w:firstLineChars="0"/>
        <w:rPr>
          <w:rFonts w:eastAsia="PMingLiU" w:cs="Times New Roman"/>
          <w:i/>
          <w:iCs/>
          <w:color w:val="000000"/>
          <w:sz w:val="20"/>
          <w:szCs w:val="20"/>
          <w:lang w:eastAsia="zh-TW"/>
        </w:rPr>
      </w:pPr>
      <w:r w:rsidRPr="00F52DE3">
        <w:rPr>
          <w:rFonts w:eastAsia="PMingLiU" w:cs="Times New Roman"/>
          <w:i/>
          <w:iCs/>
          <w:color w:val="000000"/>
          <w:sz w:val="20"/>
          <w:szCs w:val="20"/>
          <w:lang w:eastAsia="zh-TW"/>
        </w:rPr>
        <w:t>Companies are encouraged to bring evaluation results with and without retransmission</w:t>
      </w:r>
    </w:p>
    <w:p w14:paraId="52DA739E" w14:textId="77777777" w:rsidR="00EF2302" w:rsidRPr="00F52DE3" w:rsidRDefault="00EF2302" w:rsidP="00F52DE3">
      <w:pPr>
        <w:pStyle w:val="af9"/>
        <w:numPr>
          <w:ilvl w:val="1"/>
          <w:numId w:val="5"/>
        </w:numPr>
        <w:tabs>
          <w:tab w:val="left" w:pos="360"/>
        </w:tabs>
        <w:ind w:firstLineChars="0"/>
        <w:rPr>
          <w:rFonts w:eastAsia="PMingLiU" w:cs="Times New Roman"/>
          <w:i/>
          <w:iCs/>
          <w:color w:val="000000"/>
          <w:sz w:val="20"/>
          <w:szCs w:val="20"/>
          <w:lang w:eastAsia="zh-TW"/>
        </w:rPr>
      </w:pPr>
      <w:r w:rsidRPr="00F52DE3">
        <w:rPr>
          <w:rFonts w:eastAsia="PMingLiU" w:cs="Times New Roman"/>
          <w:i/>
          <w:iCs/>
          <w:color w:val="000000"/>
          <w:sz w:val="20"/>
          <w:szCs w:val="20"/>
          <w:lang w:eastAsia="zh-TW"/>
        </w:rPr>
        <w:t>Pending on the alignment outcome of further evaluation results with retransmission, if the feasibility concluded RAN4 can update the assumption with retransmission</w:t>
      </w:r>
    </w:p>
    <w:p w14:paraId="21925AAE" w14:textId="77777777" w:rsidR="00EF2302" w:rsidRDefault="00EF2302" w:rsidP="00F52DE3">
      <w:pPr>
        <w:pStyle w:val="af9"/>
        <w:numPr>
          <w:ilvl w:val="1"/>
          <w:numId w:val="5"/>
        </w:numPr>
        <w:tabs>
          <w:tab w:val="left" w:pos="360"/>
        </w:tabs>
        <w:ind w:firstLineChars="0"/>
        <w:rPr>
          <w:rFonts w:eastAsia="PMingLiU" w:cs="Times New Roman"/>
          <w:i/>
          <w:iCs/>
          <w:color w:val="000000"/>
          <w:sz w:val="20"/>
          <w:szCs w:val="20"/>
          <w:lang w:eastAsia="zh-TW"/>
        </w:rPr>
      </w:pPr>
      <w:r w:rsidRPr="00F52DE3">
        <w:rPr>
          <w:rFonts w:eastAsia="PMingLiU" w:cs="Times New Roman"/>
          <w:i/>
          <w:iCs/>
          <w:color w:val="000000"/>
          <w:sz w:val="20"/>
          <w:szCs w:val="20"/>
          <w:lang w:eastAsia="zh-TW"/>
        </w:rPr>
        <w:t xml:space="preserve">For retransmission number 4 including initial transmission, RV {0,2,3,1} with same MCS and rank as initial transmission; for precoder following UE reported PMI </w:t>
      </w:r>
    </w:p>
    <w:p w14:paraId="7FB3867C" w14:textId="7C8181C6" w:rsidR="00EE54D5" w:rsidRPr="00D84109" w:rsidRDefault="00EE54D5" w:rsidP="00D84109">
      <w:pPr>
        <w:autoSpaceDN w:val="0"/>
        <w:spacing w:before="60"/>
        <w:jc w:val="both"/>
        <w:rPr>
          <w:rFonts w:eastAsia="宋体"/>
          <w:sz w:val="20"/>
          <w:szCs w:val="20"/>
        </w:rPr>
      </w:pPr>
      <w:r w:rsidRPr="00D84109">
        <w:rPr>
          <w:rFonts w:eastAsia="宋体" w:hint="eastAsia"/>
          <w:sz w:val="20"/>
          <w:szCs w:val="20"/>
        </w:rPr>
        <w:t>B</w:t>
      </w:r>
      <w:r w:rsidRPr="00D84109">
        <w:rPr>
          <w:rFonts w:eastAsia="宋体"/>
          <w:sz w:val="20"/>
          <w:szCs w:val="20"/>
        </w:rPr>
        <w:t xml:space="preserve">ased on our simulation </w:t>
      </w:r>
      <w:r w:rsidR="00A22C0E" w:rsidRPr="00D84109">
        <w:rPr>
          <w:rFonts w:eastAsia="宋体"/>
          <w:sz w:val="20"/>
          <w:szCs w:val="20"/>
        </w:rPr>
        <w:t xml:space="preserve">results, </w:t>
      </w:r>
      <w:r w:rsidR="00C00AED" w:rsidRPr="00D84109">
        <w:rPr>
          <w:rFonts w:eastAsia="宋体"/>
          <w:sz w:val="20"/>
          <w:szCs w:val="20"/>
        </w:rPr>
        <w:t xml:space="preserve">when HARQ is enabled, </w:t>
      </w:r>
      <w:r w:rsidR="00B02108" w:rsidRPr="00D84109">
        <w:rPr>
          <w:rFonts w:eastAsia="宋体"/>
          <w:sz w:val="20"/>
          <w:szCs w:val="20"/>
        </w:rPr>
        <w:t xml:space="preserve">the BLER </w:t>
      </w:r>
      <w:r w:rsidR="00C00AED" w:rsidRPr="00D84109">
        <w:rPr>
          <w:rFonts w:eastAsia="宋体"/>
          <w:sz w:val="20"/>
          <w:szCs w:val="20"/>
        </w:rPr>
        <w:t>is</w:t>
      </w:r>
      <w:r w:rsidR="00B02108" w:rsidRPr="00D84109">
        <w:rPr>
          <w:rFonts w:eastAsia="宋体"/>
          <w:sz w:val="20"/>
          <w:szCs w:val="20"/>
        </w:rPr>
        <w:t xml:space="preserve"> decreased and TP is increased for almost all </w:t>
      </w:r>
      <w:r w:rsidR="00BC6607">
        <w:rPr>
          <w:rFonts w:eastAsia="宋体"/>
          <w:sz w:val="20"/>
          <w:szCs w:val="20"/>
        </w:rPr>
        <w:t xml:space="preserve">SNRs </w:t>
      </w:r>
      <w:r w:rsidR="00BC6607">
        <w:rPr>
          <w:rFonts w:eastAsia="宋体" w:hint="eastAsia"/>
          <w:sz w:val="20"/>
          <w:szCs w:val="20"/>
        </w:rPr>
        <w:t>in</w:t>
      </w:r>
      <w:r w:rsidR="00BC6607">
        <w:rPr>
          <w:rFonts w:eastAsia="宋体"/>
          <w:sz w:val="20"/>
          <w:szCs w:val="20"/>
        </w:rPr>
        <w:t xml:space="preserve"> each </w:t>
      </w:r>
      <w:r w:rsidR="00B02108" w:rsidRPr="00D84109">
        <w:rPr>
          <w:rFonts w:eastAsia="宋体"/>
          <w:sz w:val="20"/>
          <w:szCs w:val="20"/>
        </w:rPr>
        <w:t>test cases</w:t>
      </w:r>
      <w:r w:rsidR="00AB72B0" w:rsidRPr="00D84109">
        <w:rPr>
          <w:rFonts w:eastAsia="宋体"/>
          <w:sz w:val="20"/>
          <w:szCs w:val="20"/>
        </w:rPr>
        <w:t xml:space="preserve">. </w:t>
      </w:r>
      <w:r w:rsidR="00A678D8" w:rsidRPr="00D84109">
        <w:rPr>
          <w:rFonts w:eastAsia="宋体"/>
          <w:sz w:val="20"/>
          <w:szCs w:val="20"/>
        </w:rPr>
        <w:t xml:space="preserve">Besides, </w:t>
      </w:r>
      <w:r w:rsidR="00B02108" w:rsidRPr="00D84109">
        <w:rPr>
          <w:rFonts w:eastAsia="宋体"/>
          <w:sz w:val="20"/>
          <w:szCs w:val="20"/>
        </w:rPr>
        <w:t>t</w:t>
      </w:r>
      <w:r w:rsidR="00A22C0E" w:rsidRPr="00D84109">
        <w:rPr>
          <w:rFonts w:eastAsia="宋体"/>
          <w:sz w:val="20"/>
          <w:szCs w:val="20"/>
        </w:rPr>
        <w:t>he residual BLER is</w:t>
      </w:r>
      <w:r w:rsidR="00A678D8" w:rsidRPr="00D84109">
        <w:rPr>
          <w:rFonts w:eastAsia="宋体"/>
          <w:sz w:val="20"/>
          <w:szCs w:val="20"/>
        </w:rPr>
        <w:t xml:space="preserve"> smaller than 0.0001</w:t>
      </w:r>
      <w:r w:rsidR="00A22C0E" w:rsidRPr="00D84109">
        <w:rPr>
          <w:rFonts w:eastAsia="宋体"/>
          <w:sz w:val="20"/>
          <w:szCs w:val="20"/>
        </w:rPr>
        <w:t xml:space="preserve"> for all </w:t>
      </w:r>
      <w:r w:rsidR="00BC6607">
        <w:rPr>
          <w:rFonts w:eastAsia="宋体"/>
          <w:sz w:val="20"/>
          <w:szCs w:val="20"/>
        </w:rPr>
        <w:t xml:space="preserve">SNRs </w:t>
      </w:r>
      <w:r w:rsidR="00BC6607">
        <w:rPr>
          <w:rFonts w:eastAsia="宋体" w:hint="eastAsia"/>
          <w:sz w:val="20"/>
          <w:szCs w:val="20"/>
        </w:rPr>
        <w:t>in</w:t>
      </w:r>
      <w:r w:rsidR="00BC6607">
        <w:rPr>
          <w:rFonts w:eastAsia="宋体"/>
          <w:sz w:val="20"/>
          <w:szCs w:val="20"/>
        </w:rPr>
        <w:t xml:space="preserve"> each </w:t>
      </w:r>
      <w:r w:rsidR="00BC6607" w:rsidRPr="00D84109">
        <w:rPr>
          <w:rFonts w:eastAsia="宋体"/>
          <w:sz w:val="20"/>
          <w:szCs w:val="20"/>
        </w:rPr>
        <w:t>test cases</w:t>
      </w:r>
      <w:r w:rsidR="00A22C0E" w:rsidRPr="00D84109">
        <w:rPr>
          <w:rFonts w:eastAsia="宋体"/>
          <w:sz w:val="20"/>
          <w:szCs w:val="20"/>
        </w:rPr>
        <w:t xml:space="preserve">. This could achieve </w:t>
      </w:r>
      <w:r w:rsidR="00C00AED" w:rsidRPr="00D84109">
        <w:rPr>
          <w:rFonts w:eastAsia="宋体"/>
          <w:sz w:val="20"/>
          <w:szCs w:val="20"/>
        </w:rPr>
        <w:t xml:space="preserve">better </w:t>
      </w:r>
      <w:r w:rsidR="00A22C0E" w:rsidRPr="00D84109">
        <w:rPr>
          <w:rFonts w:eastAsia="宋体"/>
          <w:sz w:val="20"/>
          <w:szCs w:val="20"/>
        </w:rPr>
        <w:t xml:space="preserve">consistent effect between Phy layer and </w:t>
      </w:r>
      <w:r w:rsidR="00A678D8" w:rsidRPr="00D84109">
        <w:rPr>
          <w:rFonts w:eastAsia="宋体"/>
          <w:sz w:val="20"/>
          <w:szCs w:val="20"/>
        </w:rPr>
        <w:t>upper layer</w:t>
      </w:r>
      <w:r w:rsidR="0095006B" w:rsidRPr="00D84109">
        <w:rPr>
          <w:rFonts w:eastAsia="宋体"/>
          <w:sz w:val="20"/>
          <w:szCs w:val="20"/>
        </w:rPr>
        <w:t xml:space="preserve"> for TCP tests</w:t>
      </w:r>
      <w:r w:rsidR="00A678D8" w:rsidRPr="00D84109">
        <w:rPr>
          <w:rFonts w:eastAsia="宋体"/>
          <w:sz w:val="20"/>
          <w:szCs w:val="20"/>
        </w:rPr>
        <w:t xml:space="preserve"> when OutOfOrderDelivery is </w:t>
      </w:r>
      <w:r w:rsidR="00C00AED" w:rsidRPr="00D84109">
        <w:rPr>
          <w:rFonts w:eastAsia="宋体"/>
          <w:sz w:val="20"/>
          <w:szCs w:val="20"/>
        </w:rPr>
        <w:t>disabled</w:t>
      </w:r>
      <w:r w:rsidR="00A22C0E" w:rsidRPr="00D84109">
        <w:rPr>
          <w:rFonts w:eastAsia="宋体"/>
          <w:sz w:val="20"/>
          <w:szCs w:val="20"/>
        </w:rPr>
        <w:t>.</w:t>
      </w:r>
    </w:p>
    <w:p w14:paraId="3F305599" w14:textId="6D126354" w:rsidR="00B02108" w:rsidRPr="00D84109" w:rsidRDefault="00B02108" w:rsidP="00D84109">
      <w:pPr>
        <w:autoSpaceDN w:val="0"/>
        <w:spacing w:before="60"/>
        <w:jc w:val="both"/>
        <w:rPr>
          <w:rFonts w:eastAsia="宋体"/>
          <w:sz w:val="20"/>
          <w:szCs w:val="20"/>
        </w:rPr>
      </w:pPr>
      <w:r w:rsidRPr="00D84109">
        <w:rPr>
          <w:rFonts w:eastAsia="宋体" w:hint="eastAsia"/>
          <w:sz w:val="20"/>
          <w:szCs w:val="20"/>
        </w:rPr>
        <w:t>T</w:t>
      </w:r>
      <w:r w:rsidRPr="00D84109">
        <w:rPr>
          <w:rFonts w:eastAsia="宋体"/>
          <w:sz w:val="20"/>
          <w:szCs w:val="20"/>
        </w:rPr>
        <w:t>herefore, if outcome of simulation results with HARQ could</w:t>
      </w:r>
      <w:r w:rsidR="00091C18">
        <w:rPr>
          <w:rFonts w:eastAsia="宋体"/>
          <w:sz w:val="20"/>
          <w:szCs w:val="20"/>
        </w:rPr>
        <w:t xml:space="preserve"> be</w:t>
      </w:r>
      <w:r w:rsidRPr="00D84109">
        <w:rPr>
          <w:rFonts w:eastAsia="宋体"/>
          <w:sz w:val="20"/>
          <w:szCs w:val="20"/>
        </w:rPr>
        <w:t xml:space="preserve"> aligned among companies, the ATP requirements can be defined with the assumption of HARQ enabled.</w:t>
      </w:r>
    </w:p>
    <w:p w14:paraId="790600E3" w14:textId="437C90B6" w:rsidR="00C00AED" w:rsidRPr="00C00AED" w:rsidRDefault="00C00AED" w:rsidP="00C00AED">
      <w:pPr>
        <w:tabs>
          <w:tab w:val="left" w:pos="1134"/>
        </w:tabs>
        <w:spacing w:before="60"/>
        <w:jc w:val="both"/>
        <w:rPr>
          <w:rFonts w:eastAsia="等线"/>
          <w:b/>
          <w:bCs/>
          <w:i/>
          <w:iCs/>
          <w:sz w:val="20"/>
          <w:szCs w:val="20"/>
        </w:rPr>
      </w:pPr>
      <w:r w:rsidRPr="00C00AED">
        <w:rPr>
          <w:rFonts w:eastAsia="等线" w:hint="eastAsia"/>
          <w:b/>
          <w:bCs/>
          <w:i/>
          <w:iCs/>
          <w:sz w:val="20"/>
          <w:szCs w:val="20"/>
        </w:rPr>
        <w:t>O</w:t>
      </w:r>
      <w:r w:rsidRPr="00C00AED">
        <w:rPr>
          <w:rFonts w:eastAsia="等线"/>
          <w:b/>
          <w:bCs/>
          <w:i/>
          <w:iCs/>
          <w:sz w:val="20"/>
          <w:szCs w:val="20"/>
        </w:rPr>
        <w:t xml:space="preserve">bservation 1: When HARQ is enabled, the BLER is decreased and TP is increased for almost all </w:t>
      </w:r>
      <w:r w:rsidR="00BC6607" w:rsidRPr="00BC6607">
        <w:rPr>
          <w:rFonts w:eastAsia="等线"/>
          <w:b/>
          <w:bCs/>
          <w:i/>
          <w:iCs/>
          <w:sz w:val="20"/>
          <w:szCs w:val="20"/>
        </w:rPr>
        <w:t>SNRs in each test cases</w:t>
      </w:r>
      <w:r w:rsidRPr="00C00AED">
        <w:rPr>
          <w:rFonts w:eastAsia="等线"/>
          <w:b/>
          <w:bCs/>
          <w:i/>
          <w:iCs/>
          <w:sz w:val="20"/>
          <w:szCs w:val="20"/>
        </w:rPr>
        <w:t>.</w:t>
      </w:r>
    </w:p>
    <w:p w14:paraId="0D77DBDB" w14:textId="0ED46ADA" w:rsidR="00C00AED" w:rsidRPr="00C00AED" w:rsidRDefault="00C00AED" w:rsidP="00C00AED">
      <w:pPr>
        <w:tabs>
          <w:tab w:val="left" w:pos="1134"/>
        </w:tabs>
        <w:spacing w:before="60"/>
        <w:jc w:val="both"/>
        <w:rPr>
          <w:rFonts w:eastAsia="等线"/>
          <w:b/>
          <w:bCs/>
          <w:i/>
          <w:iCs/>
          <w:sz w:val="20"/>
          <w:szCs w:val="20"/>
        </w:rPr>
      </w:pPr>
      <w:r w:rsidRPr="00C00AED">
        <w:rPr>
          <w:rFonts w:eastAsia="等线" w:hint="eastAsia"/>
          <w:b/>
          <w:bCs/>
          <w:i/>
          <w:iCs/>
          <w:sz w:val="20"/>
          <w:szCs w:val="20"/>
        </w:rPr>
        <w:t>O</w:t>
      </w:r>
      <w:r w:rsidRPr="00C00AED">
        <w:rPr>
          <w:rFonts w:eastAsia="等线"/>
          <w:b/>
          <w:bCs/>
          <w:i/>
          <w:iCs/>
          <w:sz w:val="20"/>
          <w:szCs w:val="20"/>
        </w:rPr>
        <w:t>bservation 2: The rBLER is smaller than 10</w:t>
      </w:r>
      <w:r w:rsidRPr="007913AC">
        <w:rPr>
          <w:rFonts w:eastAsia="等线"/>
          <w:b/>
          <w:bCs/>
          <w:i/>
          <w:iCs/>
          <w:sz w:val="20"/>
          <w:szCs w:val="20"/>
          <w:vertAlign w:val="superscript"/>
        </w:rPr>
        <w:t>-4</w:t>
      </w:r>
      <w:r w:rsidRPr="00C00AED">
        <w:rPr>
          <w:rFonts w:eastAsia="等线"/>
          <w:b/>
          <w:bCs/>
          <w:i/>
          <w:iCs/>
          <w:sz w:val="20"/>
          <w:szCs w:val="20"/>
        </w:rPr>
        <w:t xml:space="preserve"> for all </w:t>
      </w:r>
      <w:r w:rsidR="00BC6607" w:rsidRPr="00BC6607">
        <w:rPr>
          <w:rFonts w:eastAsia="等线"/>
          <w:b/>
          <w:bCs/>
          <w:i/>
          <w:iCs/>
          <w:sz w:val="20"/>
          <w:szCs w:val="20"/>
        </w:rPr>
        <w:t>SNRs in each test cases</w:t>
      </w:r>
      <w:r w:rsidRPr="00C00AED">
        <w:rPr>
          <w:rFonts w:eastAsia="等线"/>
          <w:b/>
          <w:bCs/>
          <w:i/>
          <w:iCs/>
          <w:sz w:val="20"/>
          <w:szCs w:val="20"/>
        </w:rPr>
        <w:t>.</w:t>
      </w:r>
    </w:p>
    <w:p w14:paraId="04BD063A" w14:textId="4E3CE79A" w:rsidR="00C00AED" w:rsidRPr="00C00AED" w:rsidRDefault="00C00AED" w:rsidP="00C00AED">
      <w:pPr>
        <w:tabs>
          <w:tab w:val="left" w:pos="1134"/>
        </w:tabs>
        <w:spacing w:before="60"/>
        <w:jc w:val="both"/>
        <w:rPr>
          <w:rFonts w:eastAsia="等线"/>
          <w:b/>
          <w:bCs/>
          <w:i/>
          <w:iCs/>
          <w:sz w:val="20"/>
          <w:szCs w:val="20"/>
        </w:rPr>
      </w:pPr>
      <w:r w:rsidRPr="00C00AED">
        <w:rPr>
          <w:rFonts w:eastAsia="等线" w:hint="eastAsia"/>
          <w:b/>
          <w:bCs/>
          <w:i/>
          <w:iCs/>
          <w:sz w:val="20"/>
          <w:szCs w:val="20"/>
        </w:rPr>
        <w:t>P</w:t>
      </w:r>
      <w:r w:rsidRPr="00C00AED">
        <w:rPr>
          <w:rFonts w:eastAsia="等线"/>
          <w:b/>
          <w:bCs/>
          <w:i/>
          <w:iCs/>
          <w:sz w:val="20"/>
          <w:szCs w:val="20"/>
        </w:rPr>
        <w:t>roposal 1: If outcome of simulation results with HARQ could aligned among companies, the ATP requirements can be defined with the assumption of HARQ enabled.</w:t>
      </w:r>
    </w:p>
    <w:p w14:paraId="0422911C" w14:textId="4A3154A2" w:rsidR="00EF2302" w:rsidRPr="00F52DE3" w:rsidRDefault="00F52DE3" w:rsidP="00F52DE3">
      <w:pPr>
        <w:pStyle w:val="1"/>
        <w:numPr>
          <w:ilvl w:val="0"/>
          <w:numId w:val="2"/>
        </w:numPr>
        <w:spacing w:before="120" w:after="60" w:line="240" w:lineRule="auto"/>
        <w:rPr>
          <w:rFonts w:ascii="Times New Roman" w:hAnsi="Times New Roman"/>
          <w:b w:val="0"/>
          <w:bCs w:val="0"/>
          <w:kern w:val="0"/>
          <w:sz w:val="36"/>
          <w:szCs w:val="36"/>
        </w:rPr>
      </w:pPr>
      <w:r w:rsidRPr="00F52DE3">
        <w:rPr>
          <w:rFonts w:ascii="Times New Roman" w:hAnsi="Times New Roman"/>
          <w:b w:val="0"/>
          <w:bCs w:val="0"/>
          <w:kern w:val="0"/>
          <w:sz w:val="36"/>
          <w:szCs w:val="36"/>
        </w:rPr>
        <w:t xml:space="preserve">Phy Layer TP requirement </w:t>
      </w:r>
      <w:r w:rsidR="00606ABB" w:rsidRPr="00F52DE3">
        <w:rPr>
          <w:rFonts w:ascii="Times New Roman" w:hAnsi="Times New Roman"/>
          <w:b w:val="0"/>
          <w:bCs w:val="0"/>
          <w:kern w:val="0"/>
          <w:sz w:val="36"/>
          <w:szCs w:val="36"/>
        </w:rPr>
        <w:t>speciation</w:t>
      </w:r>
    </w:p>
    <w:p w14:paraId="656236CE" w14:textId="77777777" w:rsidR="00A66EC1" w:rsidRPr="00A66EC1" w:rsidRDefault="00A66EC1" w:rsidP="00A66EC1">
      <w:pPr>
        <w:spacing w:beforeLines="100" w:before="312"/>
        <w:rPr>
          <w:rFonts w:eastAsia="等线" w:cs="Symbol"/>
          <w:b/>
          <w:i/>
          <w:iCs/>
          <w:sz w:val="20"/>
          <w:u w:val="single"/>
          <w:lang w:eastAsia="ko-KR"/>
        </w:rPr>
      </w:pPr>
      <w:r w:rsidRPr="00A66EC1">
        <w:rPr>
          <w:rFonts w:eastAsia="等线" w:cs="Symbol"/>
          <w:b/>
          <w:i/>
          <w:iCs/>
          <w:sz w:val="20"/>
          <w:u w:val="single"/>
          <w:lang w:eastAsia="ko-KR"/>
        </w:rPr>
        <w:t>Issue 1-3-1: Phy Layer TP test metric</w:t>
      </w:r>
    </w:p>
    <w:p w14:paraId="03DD6C8F" w14:textId="77777777" w:rsidR="00A66EC1" w:rsidRPr="00A66EC1" w:rsidRDefault="00A66EC1" w:rsidP="00A66EC1">
      <w:pPr>
        <w:pStyle w:val="af9"/>
        <w:numPr>
          <w:ilvl w:val="0"/>
          <w:numId w:val="5"/>
        </w:numPr>
        <w:tabs>
          <w:tab w:val="left" w:pos="360"/>
        </w:tabs>
        <w:ind w:firstLineChars="0"/>
        <w:rPr>
          <w:rFonts w:eastAsia="PMingLiU" w:cs="Times New Roman"/>
          <w:i/>
          <w:iCs/>
          <w:color w:val="000000"/>
          <w:sz w:val="20"/>
          <w:szCs w:val="20"/>
          <w:lang w:eastAsia="zh-TW"/>
        </w:rPr>
      </w:pPr>
      <w:r w:rsidRPr="00A66EC1">
        <w:rPr>
          <w:rFonts w:eastAsia="PMingLiU" w:cs="Times New Roman"/>
          <w:i/>
          <w:iCs/>
          <w:color w:val="000000"/>
          <w:sz w:val="20"/>
          <w:szCs w:val="20"/>
          <w:lang w:eastAsia="zh-TW"/>
        </w:rPr>
        <w:t xml:space="preserve">Average SNR of impairments results to achieve T% of maximum throughput + X dB margin </w:t>
      </w:r>
    </w:p>
    <w:p w14:paraId="609A56C1" w14:textId="77777777" w:rsidR="00A66EC1" w:rsidRPr="00A66EC1" w:rsidRDefault="00A66EC1" w:rsidP="00A66EC1">
      <w:pPr>
        <w:pStyle w:val="af9"/>
        <w:numPr>
          <w:ilvl w:val="1"/>
          <w:numId w:val="5"/>
        </w:numPr>
        <w:tabs>
          <w:tab w:val="left" w:pos="360"/>
        </w:tabs>
        <w:ind w:firstLineChars="0"/>
        <w:rPr>
          <w:rFonts w:eastAsia="PMingLiU" w:cs="Times New Roman"/>
          <w:i/>
          <w:iCs/>
          <w:color w:val="000000"/>
          <w:sz w:val="20"/>
          <w:szCs w:val="20"/>
          <w:lang w:eastAsia="zh-TW"/>
        </w:rPr>
      </w:pPr>
      <w:r w:rsidRPr="00A66EC1">
        <w:rPr>
          <w:rFonts w:eastAsia="PMingLiU" w:cs="Times New Roman"/>
          <w:i/>
          <w:iCs/>
          <w:color w:val="000000"/>
          <w:sz w:val="20"/>
          <w:szCs w:val="20"/>
          <w:lang w:eastAsia="zh-TW"/>
        </w:rPr>
        <w:t>Use Gspan = [2.5] dB to check if the results are aligned</w:t>
      </w:r>
    </w:p>
    <w:p w14:paraId="1BFF1BC8" w14:textId="77777777" w:rsidR="00A66EC1" w:rsidRPr="00A66EC1" w:rsidRDefault="00A66EC1" w:rsidP="00A66EC1">
      <w:pPr>
        <w:pStyle w:val="af9"/>
        <w:numPr>
          <w:ilvl w:val="1"/>
          <w:numId w:val="5"/>
        </w:numPr>
        <w:tabs>
          <w:tab w:val="left" w:pos="360"/>
        </w:tabs>
        <w:ind w:firstLineChars="0"/>
        <w:rPr>
          <w:rFonts w:eastAsia="PMingLiU" w:cs="Times New Roman"/>
          <w:i/>
          <w:iCs/>
          <w:color w:val="000000"/>
          <w:sz w:val="20"/>
          <w:szCs w:val="20"/>
          <w:lang w:eastAsia="zh-TW"/>
        </w:rPr>
      </w:pPr>
      <w:r w:rsidRPr="00A66EC1">
        <w:rPr>
          <w:rFonts w:eastAsia="PMingLiU" w:cs="Times New Roman"/>
          <w:i/>
          <w:iCs/>
          <w:color w:val="000000"/>
          <w:sz w:val="20"/>
          <w:szCs w:val="20"/>
          <w:lang w:eastAsia="zh-TW"/>
        </w:rPr>
        <w:t xml:space="preserve">Use X = [0.5] dB for QPSK, X = [0.5] dB for 16QAM </w:t>
      </w:r>
    </w:p>
    <w:p w14:paraId="24D99030" w14:textId="77777777" w:rsidR="00A66EC1" w:rsidRPr="00A66EC1" w:rsidRDefault="00A66EC1" w:rsidP="00A66EC1">
      <w:pPr>
        <w:pStyle w:val="af9"/>
        <w:numPr>
          <w:ilvl w:val="1"/>
          <w:numId w:val="5"/>
        </w:numPr>
        <w:tabs>
          <w:tab w:val="left" w:pos="360"/>
        </w:tabs>
        <w:ind w:firstLineChars="0"/>
        <w:rPr>
          <w:rFonts w:eastAsia="PMingLiU" w:cs="Times New Roman"/>
          <w:i/>
          <w:iCs/>
          <w:color w:val="000000"/>
          <w:sz w:val="20"/>
          <w:szCs w:val="20"/>
          <w:lang w:eastAsia="zh-TW"/>
        </w:rPr>
      </w:pPr>
      <w:r w:rsidRPr="00A66EC1">
        <w:rPr>
          <w:rFonts w:eastAsia="PMingLiU" w:cs="Times New Roman"/>
          <w:i/>
          <w:iCs/>
          <w:color w:val="000000"/>
          <w:sz w:val="20"/>
          <w:szCs w:val="20"/>
          <w:lang w:eastAsia="zh-TW"/>
        </w:rPr>
        <w:t xml:space="preserve">       X = [0.8] dB for 64QAM, X = [0.8] dB for 256QAM </w:t>
      </w:r>
    </w:p>
    <w:p w14:paraId="497D54AF" w14:textId="77777777" w:rsidR="00A66EC1" w:rsidRPr="00A66EC1" w:rsidRDefault="00A66EC1" w:rsidP="00A66EC1">
      <w:pPr>
        <w:pStyle w:val="af9"/>
        <w:numPr>
          <w:ilvl w:val="1"/>
          <w:numId w:val="5"/>
        </w:numPr>
        <w:tabs>
          <w:tab w:val="left" w:pos="360"/>
        </w:tabs>
        <w:ind w:firstLineChars="0"/>
        <w:rPr>
          <w:rFonts w:eastAsia="PMingLiU" w:cs="Times New Roman"/>
          <w:i/>
          <w:iCs/>
          <w:color w:val="000000"/>
          <w:sz w:val="20"/>
          <w:szCs w:val="20"/>
          <w:lang w:eastAsia="zh-TW"/>
        </w:rPr>
      </w:pPr>
      <w:r w:rsidRPr="00A66EC1">
        <w:rPr>
          <w:rFonts w:eastAsia="PMingLiU" w:cs="Times New Roman"/>
          <w:i/>
          <w:iCs/>
          <w:color w:val="000000"/>
          <w:sz w:val="20"/>
          <w:szCs w:val="20"/>
          <w:lang w:eastAsia="zh-TW"/>
        </w:rPr>
        <w:t>The maximum throughput is defined as with TBS corresponding to CQI index 15 with rank Y for 2Rx/4Rx UE, e.g., Y=2 for both 2Rx/4Rx UEs.</w:t>
      </w:r>
    </w:p>
    <w:p w14:paraId="2A693C3E" w14:textId="77777777" w:rsidR="00A66EC1" w:rsidRPr="00A66EC1" w:rsidRDefault="00A66EC1" w:rsidP="00A66EC1">
      <w:pPr>
        <w:pStyle w:val="af9"/>
        <w:numPr>
          <w:ilvl w:val="0"/>
          <w:numId w:val="5"/>
        </w:numPr>
        <w:tabs>
          <w:tab w:val="left" w:pos="360"/>
        </w:tabs>
        <w:ind w:firstLineChars="0"/>
        <w:rPr>
          <w:rFonts w:eastAsia="PMingLiU" w:cs="Times New Roman"/>
          <w:i/>
          <w:iCs/>
          <w:color w:val="000000"/>
          <w:sz w:val="20"/>
          <w:szCs w:val="20"/>
          <w:lang w:eastAsia="zh-TW"/>
        </w:rPr>
      </w:pPr>
      <w:r w:rsidRPr="00A66EC1">
        <w:rPr>
          <w:rFonts w:eastAsia="PMingLiU" w:cs="Times New Roman"/>
          <w:i/>
          <w:iCs/>
          <w:color w:val="000000"/>
          <w:sz w:val="20"/>
          <w:szCs w:val="20"/>
          <w:lang w:eastAsia="zh-TW"/>
        </w:rPr>
        <w:lastRenderedPageBreak/>
        <w:t>Discuss based on the updated simulation results in the next meeting</w:t>
      </w:r>
    </w:p>
    <w:p w14:paraId="2238EA25" w14:textId="77777777" w:rsidR="00A66EC1" w:rsidRPr="00A66EC1" w:rsidRDefault="00A66EC1" w:rsidP="00A66EC1">
      <w:pPr>
        <w:pStyle w:val="af9"/>
        <w:numPr>
          <w:ilvl w:val="1"/>
          <w:numId w:val="5"/>
        </w:numPr>
        <w:tabs>
          <w:tab w:val="left" w:pos="360"/>
        </w:tabs>
        <w:ind w:firstLineChars="0"/>
        <w:rPr>
          <w:rFonts w:eastAsia="PMingLiU" w:cs="Times New Roman"/>
          <w:i/>
          <w:iCs/>
          <w:color w:val="000000"/>
          <w:sz w:val="20"/>
          <w:szCs w:val="20"/>
          <w:lang w:eastAsia="zh-TW"/>
        </w:rPr>
      </w:pPr>
      <w:r w:rsidRPr="00A66EC1">
        <w:rPr>
          <w:rFonts w:eastAsia="PMingLiU" w:cs="Times New Roman"/>
          <w:i/>
          <w:iCs/>
          <w:color w:val="000000"/>
          <w:sz w:val="20"/>
          <w:szCs w:val="20"/>
          <w:lang w:eastAsia="zh-TW"/>
        </w:rPr>
        <w:t>Whether X dB margin is applied to alignment results or impairment results</w:t>
      </w:r>
    </w:p>
    <w:p w14:paraId="7C7B5C30" w14:textId="77777777" w:rsidR="00A66EC1" w:rsidRDefault="00A66EC1" w:rsidP="00A66EC1">
      <w:pPr>
        <w:pStyle w:val="af9"/>
        <w:numPr>
          <w:ilvl w:val="1"/>
          <w:numId w:val="5"/>
        </w:numPr>
        <w:tabs>
          <w:tab w:val="left" w:pos="360"/>
        </w:tabs>
        <w:ind w:firstLineChars="0"/>
        <w:rPr>
          <w:rFonts w:eastAsia="PMingLiU" w:cs="Times New Roman"/>
          <w:i/>
          <w:iCs/>
          <w:color w:val="000000"/>
          <w:sz w:val="20"/>
          <w:szCs w:val="20"/>
          <w:lang w:eastAsia="zh-TW"/>
        </w:rPr>
      </w:pPr>
      <w:r w:rsidRPr="00A66EC1">
        <w:rPr>
          <w:rFonts w:eastAsia="PMingLiU" w:cs="Times New Roman"/>
          <w:i/>
          <w:iCs/>
          <w:color w:val="000000"/>
          <w:sz w:val="20"/>
          <w:szCs w:val="20"/>
          <w:lang w:eastAsia="zh-TW"/>
        </w:rPr>
        <w:t>Whether the proposed X dB values are agreeable or not</w:t>
      </w:r>
    </w:p>
    <w:p w14:paraId="4AD45B91" w14:textId="0B114807" w:rsidR="00D84109" w:rsidRDefault="00D84109" w:rsidP="0040749D">
      <w:pPr>
        <w:autoSpaceDN w:val="0"/>
        <w:spacing w:before="60"/>
        <w:jc w:val="both"/>
        <w:rPr>
          <w:rFonts w:eastAsia="宋体"/>
          <w:sz w:val="20"/>
          <w:szCs w:val="20"/>
        </w:rPr>
      </w:pPr>
      <w:r w:rsidRPr="0040749D">
        <w:rPr>
          <w:rFonts w:eastAsia="宋体"/>
          <w:sz w:val="20"/>
          <w:szCs w:val="20"/>
        </w:rPr>
        <w:t>For ATP test, for one specific SNR, the MCS can be chosen from QPSK to 246QAM according to channel quality. It is not feasible to mapping one SNR and one X (SNR to MCS, and MCS to X).</w:t>
      </w:r>
    </w:p>
    <w:p w14:paraId="4A17BFC7" w14:textId="15F672A3" w:rsidR="0040749D" w:rsidRDefault="0040749D" w:rsidP="0040749D">
      <w:pPr>
        <w:autoSpaceDN w:val="0"/>
        <w:spacing w:before="60"/>
        <w:jc w:val="both"/>
        <w:rPr>
          <w:sz w:val="20"/>
          <w:szCs w:val="20"/>
        </w:rPr>
      </w:pPr>
      <w:r>
        <w:rPr>
          <w:rFonts w:eastAsia="宋体" w:hint="eastAsia"/>
          <w:sz w:val="20"/>
          <w:szCs w:val="20"/>
        </w:rPr>
        <w:t>W</w:t>
      </w:r>
      <w:r>
        <w:rPr>
          <w:rFonts w:eastAsia="宋体"/>
          <w:sz w:val="20"/>
          <w:szCs w:val="20"/>
        </w:rPr>
        <w:t xml:space="preserve">e support to reuse the agreements in TR 37.901, which is </w:t>
      </w:r>
      <w:r w:rsidRPr="004A6F07">
        <w:rPr>
          <w:sz w:val="20"/>
          <w:szCs w:val="20"/>
        </w:rPr>
        <w:t>average SNR of impairments results to achieve T% of maximum throughput + X dB margin</w:t>
      </w:r>
      <w:r w:rsidR="006312E9">
        <w:rPr>
          <w:sz w:val="20"/>
          <w:szCs w:val="20"/>
        </w:rPr>
        <w:t>,</w:t>
      </w:r>
      <w:r>
        <w:rPr>
          <w:sz w:val="20"/>
          <w:szCs w:val="20"/>
        </w:rPr>
        <w:t xml:space="preserve"> X=0.5dB</w:t>
      </w:r>
      <w:r w:rsidR="006312E9">
        <w:rPr>
          <w:sz w:val="20"/>
          <w:szCs w:val="20"/>
        </w:rPr>
        <w:t xml:space="preserve"> is preferred</w:t>
      </w:r>
      <w:r>
        <w:rPr>
          <w:sz w:val="20"/>
          <w:szCs w:val="20"/>
        </w:rPr>
        <w:t>.</w:t>
      </w:r>
    </w:p>
    <w:p w14:paraId="3821C494" w14:textId="1D0451C7" w:rsidR="00DA15F0" w:rsidRPr="00E5070F" w:rsidRDefault="00DA15F0" w:rsidP="00E5070F">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17133F">
        <w:rPr>
          <w:rFonts w:eastAsia="等线"/>
          <w:b/>
          <w:bCs/>
          <w:i/>
          <w:iCs/>
          <w:sz w:val="20"/>
          <w:szCs w:val="20"/>
        </w:rPr>
        <w:t>2</w:t>
      </w:r>
      <w:r>
        <w:rPr>
          <w:rFonts w:eastAsia="等线"/>
          <w:b/>
          <w:bCs/>
          <w:i/>
          <w:iCs/>
          <w:sz w:val="20"/>
          <w:szCs w:val="20"/>
        </w:rPr>
        <w:t xml:space="preserve">: </w:t>
      </w:r>
      <w:r w:rsidR="00E5070F">
        <w:rPr>
          <w:rFonts w:eastAsia="等线"/>
          <w:b/>
          <w:bCs/>
          <w:i/>
          <w:iCs/>
          <w:sz w:val="20"/>
          <w:szCs w:val="20"/>
        </w:rPr>
        <w:t>Prefer to apply X=0.5dB margin for impairment results.</w:t>
      </w:r>
    </w:p>
    <w:p w14:paraId="56FADB3D" w14:textId="57DF6FE6" w:rsidR="00606ABB" w:rsidRPr="00606ABB" w:rsidRDefault="00606ABB" w:rsidP="00606ABB">
      <w:pPr>
        <w:pStyle w:val="1"/>
        <w:numPr>
          <w:ilvl w:val="0"/>
          <w:numId w:val="2"/>
        </w:numPr>
        <w:spacing w:before="120" w:after="60" w:line="240" w:lineRule="auto"/>
        <w:rPr>
          <w:rFonts w:ascii="Times New Roman" w:hAnsi="Times New Roman"/>
          <w:b w:val="0"/>
          <w:bCs w:val="0"/>
          <w:kern w:val="0"/>
          <w:sz w:val="36"/>
          <w:szCs w:val="36"/>
        </w:rPr>
      </w:pPr>
      <w:r w:rsidRPr="00606ABB">
        <w:rPr>
          <w:rFonts w:ascii="Times New Roman" w:hAnsi="Times New Roman"/>
          <w:b w:val="0"/>
          <w:bCs w:val="0"/>
          <w:kern w:val="0"/>
          <w:sz w:val="36"/>
          <w:szCs w:val="36"/>
        </w:rPr>
        <w:t>Applicability and release dependency</w:t>
      </w:r>
    </w:p>
    <w:p w14:paraId="704FE88A" w14:textId="47099DE3" w:rsidR="006E28AC" w:rsidRPr="006E28AC" w:rsidRDefault="006E28AC" w:rsidP="00997862">
      <w:pPr>
        <w:spacing w:beforeLines="100" w:before="312"/>
        <w:rPr>
          <w:rFonts w:eastAsia="等线" w:cs="Symbol"/>
          <w:b/>
          <w:i/>
          <w:iCs/>
          <w:sz w:val="20"/>
          <w:u w:val="single"/>
          <w:lang w:eastAsia="ko-KR"/>
        </w:rPr>
      </w:pPr>
      <w:r w:rsidRPr="006E28AC">
        <w:rPr>
          <w:rFonts w:eastAsia="等线" w:cs="Symbol"/>
          <w:b/>
          <w:i/>
          <w:iCs/>
          <w:sz w:val="20"/>
          <w:u w:val="single"/>
          <w:lang w:eastAsia="ko-KR"/>
        </w:rPr>
        <w:t>Applicability and release independency</w:t>
      </w:r>
    </w:p>
    <w:p w14:paraId="4498FB0E" w14:textId="49057ED0" w:rsidR="006E28AC" w:rsidRPr="006E28AC" w:rsidRDefault="006E28AC">
      <w:pPr>
        <w:pStyle w:val="af9"/>
        <w:numPr>
          <w:ilvl w:val="0"/>
          <w:numId w:val="5"/>
        </w:numPr>
        <w:tabs>
          <w:tab w:val="left" w:pos="360"/>
        </w:tabs>
        <w:ind w:firstLineChars="0"/>
        <w:rPr>
          <w:rFonts w:eastAsia="PMingLiU" w:cs="Times New Roman"/>
          <w:i/>
          <w:iCs/>
          <w:color w:val="000000"/>
          <w:sz w:val="20"/>
          <w:szCs w:val="20"/>
          <w:lang w:eastAsia="zh-TW"/>
        </w:rPr>
      </w:pPr>
      <w:r w:rsidRPr="006E28AC">
        <w:rPr>
          <w:rFonts w:eastAsia="PMingLiU" w:cs="Times New Roman"/>
          <w:i/>
          <w:iCs/>
          <w:color w:val="000000"/>
          <w:sz w:val="20"/>
          <w:szCs w:val="20"/>
          <w:lang w:eastAsia="zh-TW"/>
        </w:rPr>
        <w:t>Option 1: The requirement with link adaptation should be applicable for all NR UEs without any new applicability rules, and the requirement should be release independent from Rel-15</w:t>
      </w:r>
    </w:p>
    <w:p w14:paraId="3BE42AEB" w14:textId="77777777" w:rsidR="006E28AC" w:rsidRPr="006E28AC" w:rsidRDefault="006E28AC">
      <w:pPr>
        <w:pStyle w:val="af9"/>
        <w:numPr>
          <w:ilvl w:val="0"/>
          <w:numId w:val="5"/>
        </w:numPr>
        <w:tabs>
          <w:tab w:val="left" w:pos="360"/>
        </w:tabs>
        <w:ind w:firstLineChars="0"/>
        <w:rPr>
          <w:rFonts w:eastAsia="PMingLiU" w:cs="Times New Roman"/>
          <w:i/>
          <w:iCs/>
          <w:color w:val="000000"/>
          <w:sz w:val="20"/>
          <w:szCs w:val="20"/>
          <w:lang w:eastAsia="zh-TW"/>
        </w:rPr>
      </w:pPr>
      <w:r w:rsidRPr="006E28AC">
        <w:rPr>
          <w:rFonts w:eastAsia="PMingLiU" w:cs="Times New Roman"/>
          <w:i/>
          <w:iCs/>
          <w:color w:val="000000"/>
          <w:sz w:val="20"/>
          <w:szCs w:val="20"/>
          <w:lang w:eastAsia="zh-TW"/>
        </w:rPr>
        <w:t>Option 2: The requirement with link adaptation should be applicable from Rel-18 and not release independent from Rel-15 considering that companies are providing the latest results.</w:t>
      </w:r>
    </w:p>
    <w:p w14:paraId="31B659AD" w14:textId="5195B045" w:rsidR="008A5A89" w:rsidRDefault="008A5A89" w:rsidP="00C73B6F">
      <w:pPr>
        <w:tabs>
          <w:tab w:val="left" w:pos="1134"/>
        </w:tabs>
        <w:spacing w:before="120" w:line="240" w:lineRule="exact"/>
        <w:rPr>
          <w:sz w:val="20"/>
          <w:szCs w:val="20"/>
        </w:rPr>
      </w:pPr>
      <w:r>
        <w:rPr>
          <w:rFonts w:hint="eastAsia"/>
          <w:sz w:val="20"/>
          <w:szCs w:val="20"/>
        </w:rPr>
        <w:t>W</w:t>
      </w:r>
      <w:r>
        <w:rPr>
          <w:sz w:val="20"/>
          <w:szCs w:val="20"/>
        </w:rPr>
        <w:t xml:space="preserve">e support Option 1. </w:t>
      </w:r>
      <w:r w:rsidRPr="008A5A89">
        <w:rPr>
          <w:sz w:val="20"/>
          <w:szCs w:val="20"/>
        </w:rPr>
        <w:t xml:space="preserve">MMSE-IRC </w:t>
      </w:r>
      <w:r w:rsidR="00BA45F2">
        <w:rPr>
          <w:sz w:val="20"/>
          <w:szCs w:val="20"/>
        </w:rPr>
        <w:t>is</w:t>
      </w:r>
      <w:r w:rsidRPr="008A5A89">
        <w:rPr>
          <w:sz w:val="20"/>
          <w:szCs w:val="20"/>
        </w:rPr>
        <w:t xml:space="preserve"> baseline NR receiver, the requirements should be release independent from Rel-15. </w:t>
      </w:r>
    </w:p>
    <w:p w14:paraId="6CC874C1" w14:textId="07C185CD" w:rsidR="008A5A89" w:rsidRDefault="008A5A89" w:rsidP="008A5A89">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17133F">
        <w:rPr>
          <w:rFonts w:eastAsia="等线"/>
          <w:b/>
          <w:bCs/>
          <w:i/>
          <w:iCs/>
          <w:sz w:val="20"/>
          <w:szCs w:val="20"/>
        </w:rPr>
        <w:t>3</w:t>
      </w:r>
      <w:r>
        <w:rPr>
          <w:rFonts w:eastAsia="等线"/>
          <w:b/>
          <w:bCs/>
          <w:i/>
          <w:iCs/>
          <w:sz w:val="20"/>
          <w:szCs w:val="20"/>
        </w:rPr>
        <w:t xml:space="preserve">: </w:t>
      </w:r>
      <w:r w:rsidRPr="008A5A89">
        <w:rPr>
          <w:rFonts w:eastAsia="等线"/>
          <w:b/>
          <w:bCs/>
          <w:i/>
          <w:iCs/>
          <w:sz w:val="20"/>
          <w:szCs w:val="20"/>
        </w:rPr>
        <w:t>The requirement with link adaptation should be applicable for all NR UEs without any new applicability rules, and the requirement should be release independent from Rel-15</w:t>
      </w:r>
      <w:r>
        <w:rPr>
          <w:rFonts w:eastAsia="等线"/>
          <w:b/>
          <w:bCs/>
          <w:i/>
          <w:iCs/>
          <w:sz w:val="20"/>
          <w:szCs w:val="20"/>
        </w:rPr>
        <w:t>.</w:t>
      </w:r>
    </w:p>
    <w:p w14:paraId="3A71EA8D" w14:textId="77777777" w:rsidR="00665C61" w:rsidRDefault="00665C61" w:rsidP="00C73B6F">
      <w:pPr>
        <w:tabs>
          <w:tab w:val="left" w:pos="1134"/>
        </w:tabs>
        <w:spacing w:before="120" w:line="240" w:lineRule="exact"/>
        <w:rPr>
          <w:sz w:val="20"/>
          <w:szCs w:val="20"/>
        </w:rPr>
      </w:pP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3A9DF459" w14:textId="77777777" w:rsidR="0017133F" w:rsidRPr="00C00AED" w:rsidRDefault="0017133F" w:rsidP="0017133F">
      <w:pPr>
        <w:tabs>
          <w:tab w:val="left" w:pos="1134"/>
        </w:tabs>
        <w:spacing w:before="60"/>
        <w:jc w:val="both"/>
        <w:rPr>
          <w:rFonts w:eastAsia="等线"/>
          <w:b/>
          <w:bCs/>
          <w:i/>
          <w:iCs/>
          <w:sz w:val="20"/>
          <w:szCs w:val="20"/>
        </w:rPr>
      </w:pPr>
      <w:r w:rsidRPr="00C00AED">
        <w:rPr>
          <w:rFonts w:eastAsia="等线" w:hint="eastAsia"/>
          <w:b/>
          <w:bCs/>
          <w:i/>
          <w:iCs/>
          <w:sz w:val="20"/>
          <w:szCs w:val="20"/>
        </w:rPr>
        <w:t>O</w:t>
      </w:r>
      <w:r w:rsidRPr="00C00AED">
        <w:rPr>
          <w:rFonts w:eastAsia="等线"/>
          <w:b/>
          <w:bCs/>
          <w:i/>
          <w:iCs/>
          <w:sz w:val="20"/>
          <w:szCs w:val="20"/>
        </w:rPr>
        <w:t>bservation 1: When HARQ is enabled, the BLER is decreased and TP is increased for almost all test cases, the TP is improved especially in lower SNR regions.</w:t>
      </w:r>
    </w:p>
    <w:p w14:paraId="58B3D179" w14:textId="77777777" w:rsidR="0017133F" w:rsidRPr="00C00AED" w:rsidRDefault="0017133F" w:rsidP="0017133F">
      <w:pPr>
        <w:tabs>
          <w:tab w:val="left" w:pos="1134"/>
        </w:tabs>
        <w:spacing w:before="60"/>
        <w:jc w:val="both"/>
        <w:rPr>
          <w:rFonts w:eastAsia="等线"/>
          <w:b/>
          <w:bCs/>
          <w:i/>
          <w:iCs/>
          <w:sz w:val="20"/>
          <w:szCs w:val="20"/>
        </w:rPr>
      </w:pPr>
      <w:r w:rsidRPr="00C00AED">
        <w:rPr>
          <w:rFonts w:eastAsia="等线" w:hint="eastAsia"/>
          <w:b/>
          <w:bCs/>
          <w:i/>
          <w:iCs/>
          <w:sz w:val="20"/>
          <w:szCs w:val="20"/>
        </w:rPr>
        <w:t>O</w:t>
      </w:r>
      <w:r w:rsidRPr="00C00AED">
        <w:rPr>
          <w:rFonts w:eastAsia="等线"/>
          <w:b/>
          <w:bCs/>
          <w:i/>
          <w:iCs/>
          <w:sz w:val="20"/>
          <w:szCs w:val="20"/>
        </w:rPr>
        <w:t>bservation 2: The rBLER is smaller than 10</w:t>
      </w:r>
      <w:r w:rsidRPr="007913AC">
        <w:rPr>
          <w:rFonts w:eastAsia="等线"/>
          <w:b/>
          <w:bCs/>
          <w:i/>
          <w:iCs/>
          <w:sz w:val="20"/>
          <w:szCs w:val="20"/>
          <w:vertAlign w:val="superscript"/>
        </w:rPr>
        <w:t>-4</w:t>
      </w:r>
      <w:r w:rsidRPr="00C00AED">
        <w:rPr>
          <w:rFonts w:eastAsia="等线"/>
          <w:b/>
          <w:bCs/>
          <w:i/>
          <w:iCs/>
          <w:sz w:val="20"/>
          <w:szCs w:val="20"/>
        </w:rPr>
        <w:t xml:space="preserve"> for all test cases.</w:t>
      </w:r>
    </w:p>
    <w:p w14:paraId="0577F251" w14:textId="77777777" w:rsidR="0017133F" w:rsidRPr="00C00AED" w:rsidRDefault="0017133F" w:rsidP="0017133F">
      <w:pPr>
        <w:tabs>
          <w:tab w:val="left" w:pos="1134"/>
        </w:tabs>
        <w:spacing w:before="60"/>
        <w:jc w:val="both"/>
        <w:rPr>
          <w:rFonts w:eastAsia="等线"/>
          <w:b/>
          <w:bCs/>
          <w:i/>
          <w:iCs/>
          <w:sz w:val="20"/>
          <w:szCs w:val="20"/>
        </w:rPr>
      </w:pPr>
      <w:r w:rsidRPr="00C00AED">
        <w:rPr>
          <w:rFonts w:eastAsia="等线" w:hint="eastAsia"/>
          <w:b/>
          <w:bCs/>
          <w:i/>
          <w:iCs/>
          <w:sz w:val="20"/>
          <w:szCs w:val="20"/>
        </w:rPr>
        <w:t>P</w:t>
      </w:r>
      <w:r w:rsidRPr="00C00AED">
        <w:rPr>
          <w:rFonts w:eastAsia="等线"/>
          <w:b/>
          <w:bCs/>
          <w:i/>
          <w:iCs/>
          <w:sz w:val="20"/>
          <w:szCs w:val="20"/>
        </w:rPr>
        <w:t>roposal 1: If outcome of simulation results with HARQ could aligned among companies, the ATP requirements can be defined with the assumption of HARQ enabled.</w:t>
      </w:r>
    </w:p>
    <w:p w14:paraId="35034DC4" w14:textId="77777777" w:rsidR="0017133F" w:rsidRPr="00E5070F" w:rsidRDefault="0017133F" w:rsidP="0017133F">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 Prefer to apply X=0.5dB margin for impairment results.</w:t>
      </w:r>
    </w:p>
    <w:p w14:paraId="1CAB0B93" w14:textId="77777777" w:rsidR="0017133F" w:rsidRDefault="0017133F" w:rsidP="0017133F">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r w:rsidRPr="008A5A89">
        <w:rPr>
          <w:rFonts w:eastAsia="等线"/>
          <w:b/>
          <w:bCs/>
          <w:i/>
          <w:iCs/>
          <w:sz w:val="20"/>
          <w:szCs w:val="20"/>
        </w:rPr>
        <w:t>The requirement with link adaptation should be applicable for all NR UEs without any new applicability rules, and the requirement should be release independent from Rel-15</w:t>
      </w:r>
      <w:r>
        <w:rPr>
          <w:rFonts w:eastAsia="等线"/>
          <w:b/>
          <w:bCs/>
          <w:i/>
          <w:iCs/>
          <w:sz w:val="20"/>
          <w:szCs w:val="20"/>
        </w:rPr>
        <w:t>.</w:t>
      </w:r>
    </w:p>
    <w:p w14:paraId="2780AD1F" w14:textId="77777777" w:rsidR="0017133F" w:rsidRPr="0017133F" w:rsidRDefault="0017133F" w:rsidP="006A743C">
      <w:pPr>
        <w:tabs>
          <w:tab w:val="left" w:pos="1134"/>
        </w:tabs>
        <w:spacing w:before="60"/>
        <w:jc w:val="both"/>
        <w:rPr>
          <w:rFonts w:eastAsia="等线"/>
          <w:b/>
          <w:bCs/>
          <w:i/>
          <w:iCs/>
          <w:sz w:val="20"/>
          <w:szCs w:val="20"/>
        </w:rPr>
      </w:pP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240AFF3C" w14:textId="73BB23C3" w:rsidR="00EC721B" w:rsidRDefault="00EC721B">
      <w:pPr>
        <w:rPr>
          <w:sz w:val="20"/>
          <w:szCs w:val="20"/>
          <w:lang w:val="en-GB"/>
        </w:rPr>
      </w:pPr>
      <w:r>
        <w:rPr>
          <w:rFonts w:hint="eastAsia"/>
          <w:sz w:val="20"/>
          <w:szCs w:val="20"/>
          <w:lang w:val="en-GB"/>
        </w:rPr>
        <w:t>[</w:t>
      </w:r>
      <w:r>
        <w:rPr>
          <w:sz w:val="20"/>
          <w:szCs w:val="20"/>
          <w:lang w:val="en-GB"/>
        </w:rPr>
        <w:t xml:space="preserve">1] </w:t>
      </w:r>
      <w:r w:rsidR="00246506">
        <w:rPr>
          <w:sz w:val="20"/>
          <w:szCs w:val="20"/>
        </w:rPr>
        <w:t>R</w:t>
      </w:r>
      <w:r w:rsidR="00180310">
        <w:rPr>
          <w:sz w:val="20"/>
          <w:szCs w:val="20"/>
        </w:rPr>
        <w:t>4</w:t>
      </w:r>
      <w:r w:rsidR="00246506">
        <w:rPr>
          <w:sz w:val="20"/>
          <w:szCs w:val="20"/>
        </w:rPr>
        <w:t>-2</w:t>
      </w:r>
      <w:r w:rsidR="00EF2302">
        <w:rPr>
          <w:sz w:val="20"/>
          <w:szCs w:val="20"/>
        </w:rPr>
        <w:t>302930</w:t>
      </w:r>
      <w:r>
        <w:rPr>
          <w:sz w:val="20"/>
          <w:szCs w:val="20"/>
          <w:lang w:val="en-GB"/>
        </w:rPr>
        <w:t xml:space="preserve">, </w:t>
      </w:r>
      <w:r w:rsidR="00EF2302" w:rsidRPr="00EF2302">
        <w:rPr>
          <w:sz w:val="20"/>
          <w:szCs w:val="20"/>
          <w:lang w:val="en-GB"/>
        </w:rPr>
        <w:t>WF on absolute physical layer throughput requirement</w:t>
      </w:r>
      <w:r w:rsidR="00180310">
        <w:rPr>
          <w:sz w:val="20"/>
          <w:szCs w:val="20"/>
          <w:lang w:val="en-GB"/>
        </w:rPr>
        <w:t xml:space="preserve">, </w:t>
      </w:r>
      <w:r w:rsidR="00EF2302" w:rsidRPr="00EF2302">
        <w:rPr>
          <w:sz w:val="20"/>
          <w:szCs w:val="20"/>
          <w:lang w:val="en-GB"/>
        </w:rPr>
        <w:t>Intel Corporation</w:t>
      </w:r>
      <w:r w:rsidR="00180310">
        <w:rPr>
          <w:sz w:val="20"/>
          <w:szCs w:val="20"/>
          <w:lang w:val="en-GB"/>
        </w:rPr>
        <w:t>.</w:t>
      </w:r>
    </w:p>
    <w:p w14:paraId="772AD4A1" w14:textId="28775A0F" w:rsidR="002513F6" w:rsidRPr="00452485" w:rsidRDefault="0017133F">
      <w:pPr>
        <w:rPr>
          <w:sz w:val="20"/>
          <w:szCs w:val="20"/>
          <w:lang w:val="en-GB"/>
        </w:rPr>
      </w:pPr>
      <w:r>
        <w:rPr>
          <w:rFonts w:hint="eastAsia"/>
          <w:sz w:val="20"/>
          <w:szCs w:val="20"/>
          <w:lang w:val="en-GB"/>
        </w:rPr>
        <w:t>[</w:t>
      </w:r>
      <w:r>
        <w:rPr>
          <w:sz w:val="20"/>
          <w:szCs w:val="20"/>
          <w:lang w:val="en-GB"/>
        </w:rPr>
        <w:t>2] R4-230</w:t>
      </w:r>
      <w:r w:rsidR="00AA0DD1">
        <w:rPr>
          <w:rFonts w:hint="eastAsia"/>
          <w:sz w:val="20"/>
          <w:szCs w:val="20"/>
          <w:lang w:val="en-GB"/>
        </w:rPr>
        <w:t>4644</w:t>
      </w:r>
      <w:r>
        <w:rPr>
          <w:sz w:val="20"/>
          <w:szCs w:val="20"/>
          <w:lang w:val="en-GB"/>
        </w:rPr>
        <w:t>, Simulation results for ATP demodulation requirements</w:t>
      </w:r>
      <w:r w:rsidR="00672BDC">
        <w:rPr>
          <w:sz w:val="20"/>
          <w:szCs w:val="20"/>
          <w:lang w:val="en-GB"/>
        </w:rPr>
        <w:t>, CMCC</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20CE" w14:textId="77777777" w:rsidR="00FB51AF" w:rsidRDefault="00FB51AF" w:rsidP="007854C6">
      <w:r>
        <w:separator/>
      </w:r>
    </w:p>
  </w:endnote>
  <w:endnote w:type="continuationSeparator" w:id="0">
    <w:p w14:paraId="4E3FF5CD" w14:textId="77777777" w:rsidR="00FB51AF" w:rsidRDefault="00FB51A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7B6C1" w14:textId="77777777" w:rsidR="00FB51AF" w:rsidRDefault="00FB51AF" w:rsidP="007854C6">
      <w:r>
        <w:separator/>
      </w:r>
    </w:p>
  </w:footnote>
  <w:footnote w:type="continuationSeparator" w:id="0">
    <w:p w14:paraId="3574C7EE" w14:textId="77777777" w:rsidR="00FB51AF" w:rsidRDefault="00FB51A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7F92669"/>
    <w:multiLevelType w:val="hybridMultilevel"/>
    <w:tmpl w:val="965CBCC8"/>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C1406FB2">
      <w:start w:val="1"/>
      <w:numFmt w:val="bullet"/>
      <w:lvlText w:val="­"/>
      <w:lvlJc w:val="left"/>
      <w:pPr>
        <w:ind w:left="2348" w:hanging="360"/>
      </w:pPr>
      <w:rPr>
        <w:rFonts w:ascii="Modern No. 20" w:hAnsi="Modern No. 20" w:hint="default"/>
      </w:rPr>
    </w:lvl>
    <w:lvl w:ilvl="3" w:tplc="04090001">
      <w:start w:val="1"/>
      <w:numFmt w:val="bullet"/>
      <w:lvlText w:val=""/>
      <w:lvlJc w:val="left"/>
      <w:pPr>
        <w:ind w:left="3097" w:hanging="420"/>
      </w:pPr>
      <w:rPr>
        <w:rFonts w:ascii="Wingdings" w:hAnsi="Wingdings" w:hint="default"/>
      </w:rPr>
    </w:lvl>
    <w:lvl w:ilvl="4" w:tplc="04090003">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6"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num w:numId="1" w16cid:durableId="713191846">
    <w:abstractNumId w:val="7"/>
  </w:num>
  <w:num w:numId="2" w16cid:durableId="1872185180">
    <w:abstractNumId w:val="1"/>
  </w:num>
  <w:num w:numId="3" w16cid:durableId="1337423769">
    <w:abstractNumId w:val="6"/>
  </w:num>
  <w:num w:numId="4" w16cid:durableId="990910816">
    <w:abstractNumId w:val="0"/>
  </w:num>
  <w:num w:numId="5" w16cid:durableId="946813287">
    <w:abstractNumId w:val="3"/>
  </w:num>
  <w:num w:numId="6" w16cid:durableId="527060797">
    <w:abstractNumId w:val="4"/>
  </w:num>
  <w:num w:numId="7" w16cid:durableId="1862933527">
    <w:abstractNumId w:val="7"/>
  </w:num>
  <w:num w:numId="8" w16cid:durableId="1783331827">
    <w:abstractNumId w:val="2"/>
  </w:num>
  <w:num w:numId="9" w16cid:durableId="1680501420">
    <w:abstractNumId w:val="5"/>
  </w:num>
  <w:num w:numId="10" w16cid:durableId="663555536">
    <w:abstractNumId w:val="8"/>
  </w:num>
  <w:num w:numId="11" w16cid:durableId="126006180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1C18"/>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ACA"/>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33F"/>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0DBC"/>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34"/>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49D"/>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6D9C"/>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422"/>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7FC"/>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1B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ABB"/>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2E9"/>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2BDC"/>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B91"/>
    <w:rsid w:val="00790DCB"/>
    <w:rsid w:val="00791157"/>
    <w:rsid w:val="0079128C"/>
    <w:rsid w:val="007912FC"/>
    <w:rsid w:val="007913A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06B"/>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2C0E"/>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3E60"/>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6EC1"/>
    <w:rsid w:val="00A67037"/>
    <w:rsid w:val="00A670FE"/>
    <w:rsid w:val="00A67437"/>
    <w:rsid w:val="00A674F2"/>
    <w:rsid w:val="00A678D8"/>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1"/>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2B0"/>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08"/>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5F2"/>
    <w:rsid w:val="00BA4667"/>
    <w:rsid w:val="00BA4698"/>
    <w:rsid w:val="00BA53AB"/>
    <w:rsid w:val="00BA5E86"/>
    <w:rsid w:val="00BA6638"/>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607"/>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AED"/>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4DCA"/>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CF0"/>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09"/>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0"/>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70F"/>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4D5"/>
    <w:rsid w:val="00EE560F"/>
    <w:rsid w:val="00EE5D8E"/>
    <w:rsid w:val="00EE65DC"/>
    <w:rsid w:val="00EE67ED"/>
    <w:rsid w:val="00EF0411"/>
    <w:rsid w:val="00EF07F9"/>
    <w:rsid w:val="00EF0C3F"/>
    <w:rsid w:val="00EF10B5"/>
    <w:rsid w:val="00EF1110"/>
    <w:rsid w:val="00EF13C5"/>
    <w:rsid w:val="00EF1759"/>
    <w:rsid w:val="00EF1BE4"/>
    <w:rsid w:val="00EF1C89"/>
    <w:rsid w:val="00EF2302"/>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2DE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1A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6C6"/>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33F"/>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列出段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6602</TotalTime>
  <Pages>2</Pages>
  <Words>670</Words>
  <Characters>3822</Characters>
  <Application>Microsoft Office Word</Application>
  <DocSecurity>0</DocSecurity>
  <Lines>31</Lines>
  <Paragraphs>8</Paragraphs>
  <ScaleCrop>false</ScaleCrop>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77</cp:revision>
  <dcterms:created xsi:type="dcterms:W3CDTF">2022-08-08T10:51:00Z</dcterms:created>
  <dcterms:modified xsi:type="dcterms:W3CDTF">2023-04-10T03:37:00Z</dcterms:modified>
</cp:coreProperties>
</file>